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4B" w:rsidRDefault="00BA45F1" w:rsidP="000E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Convention de partenariat</w:t>
      </w:r>
      <w:r w:rsidR="0064159C">
        <w:t xml:space="preserve"> EHPAD-Bénévoles</w:t>
      </w:r>
    </w:p>
    <w:p w:rsidR="000E404B" w:rsidRDefault="00BA45F1" w:rsidP="00B27935">
      <w:pPr>
        <w:jc w:val="both"/>
      </w:pPr>
      <w:r>
        <w:t xml:space="preserve">L’ensemble de l’équipe </w:t>
      </w:r>
      <w:r w:rsidR="0064159C">
        <w:t xml:space="preserve">professionnelle </w:t>
      </w:r>
      <w:r>
        <w:t xml:space="preserve">de l’EHPAD Ter et Mer, </w:t>
      </w:r>
      <w:r w:rsidR="000E404B">
        <w:t xml:space="preserve">reconnaît le rôle primordial des bénévoles pour atteindre les objectifs </w:t>
      </w:r>
      <w:r>
        <w:t>du</w:t>
      </w:r>
      <w:r w:rsidR="000E404B">
        <w:t xml:space="preserve"> projet d’établissement</w:t>
      </w:r>
      <w:r>
        <w:t>. U</w:t>
      </w:r>
      <w:r w:rsidR="000E404B">
        <w:t xml:space="preserve">ne importance toute particulière </w:t>
      </w:r>
      <w:r w:rsidR="00916938">
        <w:t xml:space="preserve">est accordée </w:t>
      </w:r>
      <w:r w:rsidR="000E404B">
        <w:t xml:space="preserve">à la notion de complémentarité pour répondre </w:t>
      </w:r>
      <w:r w:rsidR="0064159C">
        <w:t>aux attentes du résidant au travers l’intervention du personnel, des familles et d</w:t>
      </w:r>
      <w:r w:rsidR="000E404B">
        <w:t>es bénévoles.</w:t>
      </w:r>
    </w:p>
    <w:p w:rsidR="000E404B" w:rsidRDefault="00FD2B99" w:rsidP="00B27935">
      <w:pPr>
        <w:jc w:val="both"/>
      </w:pPr>
      <w:r>
        <w:t xml:space="preserve">Tout(e) bénévole accueilli(e) au sein de l’établissement se voit remettre la présente convention qui reconnaît la place et le rôle du bénévole dans l’institution. Elle permet également de définir </w:t>
      </w:r>
      <w:r w:rsidR="00B27935">
        <w:t xml:space="preserve"> </w:t>
      </w:r>
      <w:r>
        <w:t xml:space="preserve">ses droits, ses devoirs et le cadre qui doit s’instituer entre les bénévoles, les agents et les résidants puisque le </w:t>
      </w:r>
      <w:r w:rsidR="00B27935">
        <w:t>bénévole joue un rôle qui lui confère une responsabilité qu’aucun statut social ou j</w:t>
      </w:r>
      <w:r w:rsidR="00916938">
        <w:t xml:space="preserve">uridique ne définit. </w:t>
      </w:r>
    </w:p>
    <w:p w:rsidR="00B27935" w:rsidRDefault="00B27935" w:rsidP="00C454E0">
      <w:pPr>
        <w:jc w:val="both"/>
      </w:pPr>
      <w:r w:rsidRPr="00C454E0">
        <w:rPr>
          <w:b/>
        </w:rPr>
        <w:t>Article 1</w:t>
      </w:r>
      <w:r>
        <w:t> :</w:t>
      </w:r>
    </w:p>
    <w:p w:rsidR="00E22FCE" w:rsidRDefault="00E22FCE" w:rsidP="00E22FCE">
      <w:pPr>
        <w:jc w:val="both"/>
      </w:pPr>
      <w:r>
        <w:t xml:space="preserve">Le bénévole ou les membres de l’association </w:t>
      </w:r>
      <w:r w:rsidR="0064159C">
        <w:t xml:space="preserve">de bénévoles </w:t>
      </w:r>
      <w:r>
        <w:t>pour exercer leur</w:t>
      </w:r>
      <w:r w:rsidR="004318F6">
        <w:t>s</w:t>
      </w:r>
      <w:r>
        <w:t xml:space="preserve"> activité</w:t>
      </w:r>
      <w:r w:rsidR="004318F6">
        <w:t>s</w:t>
      </w:r>
      <w:r>
        <w:t xml:space="preserve"> doivent se référer à l’animatrice coordinatrice ou à la directrice avec qui ils détermineront les modalités d’intervention (horaires/jours/résidants/lieu et matériel d’activités). Ils s’engagent à venir de façon régulière aux jours et heures prévus. C'est-à-dire, lorsqu’ils ne pourront être présent</w:t>
      </w:r>
      <w:r w:rsidR="0064159C">
        <w:t>s</w:t>
      </w:r>
      <w:r>
        <w:t xml:space="preserve"> à une activité il est indispensable de prévenir l’établissement afin que le résidant en soit informé rapidement. Réciproque</w:t>
      </w:r>
      <w:r w:rsidR="0064159C">
        <w:t xml:space="preserve">ment, si un résidant ne peut recevoir </w:t>
      </w:r>
      <w:r>
        <w:t>la visite du bénévole (fatigue/rendez-vous extérieurs etc.)</w:t>
      </w:r>
      <w:r w:rsidR="0064159C">
        <w:t xml:space="preserve"> l’animatrice coordinatrice l’</w:t>
      </w:r>
      <w:r>
        <w:t>en informera.</w:t>
      </w:r>
    </w:p>
    <w:p w:rsidR="00D04577" w:rsidRDefault="00D04577" w:rsidP="00C454E0">
      <w:pPr>
        <w:jc w:val="both"/>
      </w:pPr>
      <w:r w:rsidRPr="00D04577">
        <w:rPr>
          <w:b/>
        </w:rPr>
        <w:t xml:space="preserve">Article </w:t>
      </w:r>
      <w:r w:rsidR="00BA45F1">
        <w:rPr>
          <w:b/>
        </w:rPr>
        <w:t>2</w:t>
      </w:r>
      <w:r>
        <w:t> :</w:t>
      </w:r>
    </w:p>
    <w:p w:rsidR="00E22FCE" w:rsidRDefault="00E22FCE" w:rsidP="00E22FCE">
      <w:pPr>
        <w:jc w:val="both"/>
      </w:pPr>
      <w:r>
        <w:t xml:space="preserve">L’établissement s’engage à donner les informations nécessaires pour le bon déroulement des interventions du bénévole </w:t>
      </w:r>
      <w:r w:rsidR="0064159C">
        <w:t>ou des membres de l’association (dans la limite du secret professionnel).</w:t>
      </w:r>
    </w:p>
    <w:p w:rsidR="00D04577" w:rsidRDefault="00D04577" w:rsidP="00C454E0">
      <w:pPr>
        <w:jc w:val="both"/>
        <w:rPr>
          <w:b/>
        </w:rPr>
      </w:pPr>
      <w:r w:rsidRPr="00D04577">
        <w:rPr>
          <w:b/>
        </w:rPr>
        <w:t xml:space="preserve">Article </w:t>
      </w:r>
      <w:r w:rsidR="00BA45F1">
        <w:rPr>
          <w:b/>
        </w:rPr>
        <w:t>3</w:t>
      </w:r>
      <w:r>
        <w:rPr>
          <w:b/>
        </w:rPr>
        <w:t xml:space="preserve"> </w:t>
      </w:r>
      <w:r w:rsidRPr="00D04577">
        <w:rPr>
          <w:b/>
        </w:rPr>
        <w:t>:</w:t>
      </w:r>
    </w:p>
    <w:p w:rsidR="00E22FCE" w:rsidRDefault="00E22FCE" w:rsidP="00E22FCE">
      <w:pPr>
        <w:jc w:val="both"/>
      </w:pPr>
      <w:r>
        <w:t>L’</w:t>
      </w:r>
      <w:r w:rsidR="004318F6">
        <w:t>établissement s’engage à informer</w:t>
      </w:r>
      <w:r>
        <w:t xml:space="preserve"> le bénévole ou les membres de l’association</w:t>
      </w:r>
      <w:r w:rsidR="0064159C">
        <w:t xml:space="preserve"> de bénévoles</w:t>
      </w:r>
      <w:r>
        <w:t xml:space="preserve"> sur le</w:t>
      </w:r>
      <w:r w:rsidR="0064159C">
        <w:t>s consignes de sécurité à respecter</w:t>
      </w:r>
      <w:r>
        <w:t xml:space="preserve"> en cas d’urgence.</w:t>
      </w:r>
    </w:p>
    <w:p w:rsidR="00C454E0" w:rsidRDefault="00C454E0" w:rsidP="00C454E0">
      <w:pPr>
        <w:jc w:val="both"/>
      </w:pPr>
      <w:r w:rsidRPr="00C454E0">
        <w:rPr>
          <w:b/>
        </w:rPr>
        <w:t xml:space="preserve">Article </w:t>
      </w:r>
      <w:r w:rsidR="00BA45F1">
        <w:rPr>
          <w:b/>
        </w:rPr>
        <w:t>4</w:t>
      </w:r>
      <w:r>
        <w:t> :</w:t>
      </w:r>
    </w:p>
    <w:p w:rsidR="00E22FCE" w:rsidRDefault="00E22FCE" w:rsidP="00E22FCE">
      <w:pPr>
        <w:jc w:val="both"/>
      </w:pPr>
      <w:r>
        <w:t>Afin de bien être identifié</w:t>
      </w:r>
      <w:r w:rsidR="0064159C">
        <w:t>(s)</w:t>
      </w:r>
      <w:r>
        <w:t xml:space="preserve"> par le personnel, les résidants et leurs familles, le bénévole ou les membres de l’association </w:t>
      </w:r>
      <w:r w:rsidR="0064159C">
        <w:t xml:space="preserve">de bénévoles </w:t>
      </w:r>
      <w:r>
        <w:t>devront porter un badge fourni par l’établissement.</w:t>
      </w:r>
    </w:p>
    <w:p w:rsidR="00C454E0" w:rsidRDefault="00C454E0" w:rsidP="00C454E0">
      <w:pPr>
        <w:jc w:val="both"/>
      </w:pPr>
      <w:r w:rsidRPr="00C454E0">
        <w:rPr>
          <w:b/>
        </w:rPr>
        <w:t xml:space="preserve">Article </w:t>
      </w:r>
      <w:r w:rsidR="00BA45F1">
        <w:rPr>
          <w:b/>
        </w:rPr>
        <w:t>5</w:t>
      </w:r>
      <w:r>
        <w:t>:</w:t>
      </w:r>
    </w:p>
    <w:p w:rsidR="00E22FCE" w:rsidRDefault="00E22FCE" w:rsidP="00E22FCE">
      <w:pPr>
        <w:jc w:val="both"/>
      </w:pPr>
      <w:r>
        <w:t xml:space="preserve">Le bénévole ou les membres de l’association </w:t>
      </w:r>
      <w:r w:rsidR="0064159C">
        <w:t xml:space="preserve">de bénévoles </w:t>
      </w:r>
      <w:r>
        <w:t xml:space="preserve">au même titre que les agents de l’établissement sont soumis au devoir de réserve. Ils s’engagent à ne pas porter de jugement vis-à-vis </w:t>
      </w:r>
      <w:r>
        <w:lastRenderedPageBreak/>
        <w:t xml:space="preserve">des résidants, de leurs familles ou du personnel. </w:t>
      </w:r>
      <w:r w:rsidR="0064159C">
        <w:t>Ils ne devront pas rapporter de</w:t>
      </w:r>
      <w:r>
        <w:t xml:space="preserve"> faits, des évènements, des rumeurs dont ils ont eu connaissance. Toutefois, ils pourront échanger librement avec tous les membres du personnel afin d’éviter d’éventuels quiproquos.</w:t>
      </w:r>
    </w:p>
    <w:p w:rsidR="00C454E0" w:rsidRDefault="00EC7831" w:rsidP="00C454E0">
      <w:pPr>
        <w:jc w:val="both"/>
      </w:pPr>
      <w:r w:rsidRPr="00EC7831">
        <w:rPr>
          <w:b/>
        </w:rPr>
        <w:t xml:space="preserve">Article </w:t>
      </w:r>
      <w:r w:rsidR="00D66983">
        <w:rPr>
          <w:b/>
        </w:rPr>
        <w:t>6</w:t>
      </w:r>
      <w:r w:rsidR="00C454E0">
        <w:t>:</w:t>
      </w:r>
    </w:p>
    <w:p w:rsidR="00E22FCE" w:rsidRDefault="00E22FCE" w:rsidP="00E22FCE">
      <w:pPr>
        <w:jc w:val="both"/>
      </w:pPr>
      <w:r>
        <w:t xml:space="preserve">Le bénévole ou les membres de l’association </w:t>
      </w:r>
      <w:r w:rsidR="0064159C">
        <w:t xml:space="preserve">de bénévoles </w:t>
      </w:r>
      <w:r>
        <w:t xml:space="preserve">ne peuvent se substituer au personnel soignant pour les manipulations habituelles (accompagnement aux toilettes, </w:t>
      </w:r>
      <w:r w:rsidRPr="00916938">
        <w:t>soin de nursing</w:t>
      </w:r>
      <w:r>
        <w:t xml:space="preserve">, aide au repas et à l’hydratation). </w:t>
      </w:r>
    </w:p>
    <w:p w:rsidR="00C454E0" w:rsidRDefault="00D66983" w:rsidP="00C454E0">
      <w:pPr>
        <w:jc w:val="both"/>
      </w:pPr>
      <w:r>
        <w:rPr>
          <w:b/>
        </w:rPr>
        <w:t>Article 7</w:t>
      </w:r>
      <w:r w:rsidR="00C454E0" w:rsidRPr="00E93340">
        <w:rPr>
          <w:b/>
        </w:rPr>
        <w:t> </w:t>
      </w:r>
      <w:r w:rsidR="00C454E0">
        <w:t>:</w:t>
      </w:r>
    </w:p>
    <w:p w:rsidR="00E22FCE" w:rsidRDefault="00E22FCE" w:rsidP="00E22FCE">
      <w:pPr>
        <w:jc w:val="both"/>
      </w:pPr>
      <w:r>
        <w:t>Toute sortie avec un résidant, même dans le jardin, devra être signalée à l’infirmière de l’établissement.</w:t>
      </w:r>
    </w:p>
    <w:p w:rsidR="00EC7831" w:rsidRDefault="00EC7831" w:rsidP="00C454E0">
      <w:pPr>
        <w:jc w:val="both"/>
      </w:pPr>
      <w:r w:rsidRPr="00E93340">
        <w:rPr>
          <w:b/>
        </w:rPr>
        <w:t xml:space="preserve">Article </w:t>
      </w:r>
      <w:r w:rsidR="00D66983">
        <w:rPr>
          <w:b/>
        </w:rPr>
        <w:t>8</w:t>
      </w:r>
      <w:r>
        <w:t> :</w:t>
      </w:r>
    </w:p>
    <w:p w:rsidR="00E22FCE" w:rsidRDefault="00E22FCE" w:rsidP="00E22FCE">
      <w:pPr>
        <w:jc w:val="both"/>
      </w:pPr>
      <w:r>
        <w:t xml:space="preserve">En aucun cas le bénévole ou les membres de l’association </w:t>
      </w:r>
      <w:r w:rsidR="0064159C">
        <w:t xml:space="preserve">de bénévoles </w:t>
      </w:r>
      <w:r>
        <w:t xml:space="preserve">ne devront recevoir de l’argent </w:t>
      </w:r>
      <w:r w:rsidR="0064159C">
        <w:t>de la part d’un résidant ou de s</w:t>
      </w:r>
      <w:r>
        <w:t xml:space="preserve">a famille quel qu’en soit le motif (courses, </w:t>
      </w:r>
      <w:r w:rsidR="0064159C">
        <w:t>dons, sortie</w:t>
      </w:r>
      <w:r>
        <w:t xml:space="preserve"> promenade etc.).</w:t>
      </w:r>
    </w:p>
    <w:p w:rsidR="00EC7831" w:rsidRDefault="00EC7831" w:rsidP="00C454E0">
      <w:pPr>
        <w:jc w:val="both"/>
        <w:rPr>
          <w:b/>
        </w:rPr>
      </w:pPr>
      <w:r w:rsidRPr="00E93340">
        <w:rPr>
          <w:b/>
        </w:rPr>
        <w:t>Article</w:t>
      </w:r>
      <w:r w:rsidR="00D66983">
        <w:rPr>
          <w:b/>
        </w:rPr>
        <w:t xml:space="preserve"> 9</w:t>
      </w:r>
      <w:r w:rsidR="00E93340">
        <w:rPr>
          <w:b/>
        </w:rPr>
        <w:t> :</w:t>
      </w:r>
    </w:p>
    <w:p w:rsidR="00E22FCE" w:rsidRDefault="00E22FCE" w:rsidP="00E22FCE">
      <w:pPr>
        <w:jc w:val="both"/>
      </w:pPr>
      <w:r>
        <w:t xml:space="preserve">Une rencontre trimestrielle aura lieu entre les bénévoles ou les membres de l’association </w:t>
      </w:r>
      <w:r w:rsidR="0064159C">
        <w:t xml:space="preserve">de bénévoles </w:t>
      </w:r>
      <w:r>
        <w:t xml:space="preserve">et l’animatrice coordinatrice afin de faire le point sur les interventions. Le bénévole ou les membres de l’association </w:t>
      </w:r>
      <w:r w:rsidR="0064159C">
        <w:t xml:space="preserve">de bénévoles </w:t>
      </w:r>
      <w:r>
        <w:t>seront régulièrement informés par l’animatrice coordinatrice des projets d’animation sur l’année et seront cordialement invités à proposer leurs idées via les commissions d’animation.</w:t>
      </w:r>
    </w:p>
    <w:p w:rsidR="00EC7831" w:rsidRPr="00E93340" w:rsidRDefault="00EC7831" w:rsidP="00C454E0">
      <w:pPr>
        <w:jc w:val="both"/>
        <w:rPr>
          <w:b/>
        </w:rPr>
      </w:pPr>
      <w:r w:rsidRPr="00E93340">
        <w:rPr>
          <w:b/>
        </w:rPr>
        <w:t>Article</w:t>
      </w:r>
      <w:r w:rsidR="00E22FCE">
        <w:rPr>
          <w:b/>
        </w:rPr>
        <w:t xml:space="preserve"> 10</w:t>
      </w:r>
      <w:r w:rsidR="00BE1166">
        <w:rPr>
          <w:b/>
        </w:rPr>
        <w:t> :</w:t>
      </w:r>
    </w:p>
    <w:p w:rsidR="00EC7831" w:rsidRPr="00885E7D" w:rsidRDefault="00916938" w:rsidP="00C454E0">
      <w:pPr>
        <w:jc w:val="both"/>
      </w:pPr>
      <w:r>
        <w:t>L’établissement</w:t>
      </w:r>
      <w:r w:rsidR="00194195">
        <w:t xml:space="preserve"> est assuré</w:t>
      </w:r>
      <w:r w:rsidR="00885E7D" w:rsidRPr="00885E7D">
        <w:t xml:space="preserve"> pour les dommages causés ou subis par le bénévole</w:t>
      </w:r>
      <w:r>
        <w:t>. Si il s’agit d’une association, elle devra prouver à l’établissement qu’elle assure de son côté plusieurs bénévoles au sein de ses propres assurances.</w:t>
      </w:r>
    </w:p>
    <w:p w:rsidR="00885E7D" w:rsidRPr="00885E7D" w:rsidRDefault="00885E7D" w:rsidP="00C454E0">
      <w:pPr>
        <w:jc w:val="both"/>
      </w:pPr>
      <w:r w:rsidRPr="00885E7D">
        <w:t>Cependant, il est conseillé que le bénévole</w:t>
      </w:r>
      <w:r w:rsidR="00916938">
        <w:t xml:space="preserve"> ou les membres de l’association</w:t>
      </w:r>
      <w:r w:rsidRPr="00885E7D">
        <w:t xml:space="preserve"> soi</w:t>
      </w:r>
      <w:r w:rsidR="00916938">
        <w:t>en</w:t>
      </w:r>
      <w:r w:rsidRPr="00885E7D">
        <w:t>t assuré</w:t>
      </w:r>
      <w:r w:rsidR="00916938">
        <w:t xml:space="preserve">s de leur </w:t>
      </w:r>
      <w:r w:rsidRPr="00885E7D">
        <w:t>côté pour ce type d’activité auprès d’un public spécifique.</w:t>
      </w:r>
    </w:p>
    <w:p w:rsidR="00EC7831" w:rsidRPr="00E93340" w:rsidRDefault="00D04577" w:rsidP="00C454E0">
      <w:pPr>
        <w:jc w:val="both"/>
        <w:rPr>
          <w:b/>
        </w:rPr>
      </w:pPr>
      <w:r>
        <w:rPr>
          <w:b/>
        </w:rPr>
        <w:t>Ar</w:t>
      </w:r>
      <w:r w:rsidR="00E22FCE">
        <w:rPr>
          <w:b/>
        </w:rPr>
        <w:t>ticle 11</w:t>
      </w:r>
      <w:r w:rsidR="00BE1166">
        <w:rPr>
          <w:b/>
        </w:rPr>
        <w:t> :</w:t>
      </w:r>
    </w:p>
    <w:p w:rsidR="00EC7831" w:rsidRDefault="00EC7831" w:rsidP="00C454E0">
      <w:pPr>
        <w:jc w:val="both"/>
      </w:pPr>
      <w:r>
        <w:t xml:space="preserve">La présente convention prend effet à la date de sa </w:t>
      </w:r>
      <w:r w:rsidR="00E93340">
        <w:t>signature,</w:t>
      </w:r>
      <w:r>
        <w:t xml:space="preserve"> elle est</w:t>
      </w:r>
      <w:r w:rsidR="001A03A2">
        <w:t xml:space="preserve"> établie </w:t>
      </w:r>
      <w:r w:rsidR="0064159C">
        <w:t>sur une durée d’un</w:t>
      </w:r>
      <w:r w:rsidR="00D66983">
        <w:t xml:space="preserve"> an et renouvelée par tacite reconduction à défaut d’être dénoncée par les parties deux mois avant sa date d’échéance.</w:t>
      </w:r>
    </w:p>
    <w:p w:rsidR="00D66983" w:rsidRDefault="00D66983" w:rsidP="00C454E0">
      <w:pPr>
        <w:jc w:val="both"/>
      </w:pPr>
      <w:r>
        <w:lastRenderedPageBreak/>
        <w:t>Etabli en double exemplaires</w:t>
      </w:r>
      <w:r w:rsidR="00885E7D">
        <w:t xml:space="preserve"> dont un remis au bénévole</w:t>
      </w:r>
      <w:r w:rsidR="0064159C">
        <w:t xml:space="preserve"> ou à l’association de bénévoles</w:t>
      </w:r>
    </w:p>
    <w:p w:rsidR="00885E7D" w:rsidRDefault="00885E7D" w:rsidP="00C454E0">
      <w:pPr>
        <w:jc w:val="both"/>
      </w:pPr>
      <w:r>
        <w:t>Fait à Ploemeur le</w:t>
      </w:r>
    </w:p>
    <w:p w:rsidR="00885E7D" w:rsidRDefault="00211272" w:rsidP="00C454E0">
      <w:pPr>
        <w:jc w:val="both"/>
      </w:pPr>
      <w:r>
        <w:t>Madame ALNO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1272" w:rsidRDefault="00211272" w:rsidP="00C454E0">
      <w:pPr>
        <w:jc w:val="both"/>
      </w:pPr>
      <w:r>
        <w:t>Adjointe à l’action sociale</w:t>
      </w:r>
    </w:p>
    <w:p w:rsidR="00B27935" w:rsidRDefault="00B27935" w:rsidP="000E404B"/>
    <w:p w:rsidR="00B27935" w:rsidRPr="000E404B" w:rsidRDefault="00B27935" w:rsidP="000E404B"/>
    <w:sectPr w:rsidR="00B27935" w:rsidRPr="000E404B" w:rsidSect="000C5E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31" w:rsidRDefault="00EC7831" w:rsidP="00B37195">
      <w:pPr>
        <w:spacing w:after="0" w:line="240" w:lineRule="auto"/>
      </w:pPr>
      <w:r>
        <w:separator/>
      </w:r>
    </w:p>
  </w:endnote>
  <w:endnote w:type="continuationSeparator" w:id="0">
    <w:p w:rsidR="00EC7831" w:rsidRDefault="00EC7831" w:rsidP="00B3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7D" w:rsidRDefault="0064159C">
    <w:pPr>
      <w:pStyle w:val="Pieddepage"/>
    </w:pPr>
    <w:r>
      <w:t>Modifiée le 24</w:t>
    </w:r>
    <w:r w:rsidR="00916938">
      <w:t xml:space="preserve"> Novembre 2014</w:t>
    </w:r>
  </w:p>
  <w:p w:rsidR="00916938" w:rsidRDefault="00916938">
    <w:pPr>
      <w:pStyle w:val="Pieddepage"/>
    </w:pPr>
  </w:p>
  <w:p w:rsidR="004B6733" w:rsidRDefault="004B6733">
    <w:pPr>
      <w:pStyle w:val="Pieddepage"/>
    </w:pPr>
  </w:p>
  <w:p w:rsidR="00EC7831" w:rsidRDefault="00EC78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31" w:rsidRDefault="00EC7831" w:rsidP="00B37195">
      <w:pPr>
        <w:spacing w:after="0" w:line="240" w:lineRule="auto"/>
      </w:pPr>
      <w:r>
        <w:separator/>
      </w:r>
    </w:p>
  </w:footnote>
  <w:footnote w:type="continuationSeparator" w:id="0">
    <w:p w:rsidR="00EC7831" w:rsidRDefault="00EC7831" w:rsidP="00B3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F6" w:rsidRDefault="004318F6">
    <w:pPr>
      <w:pStyle w:val="En-tte"/>
    </w:pPr>
    <w:r w:rsidRPr="004318F6">
      <w:rPr>
        <w:noProof/>
        <w:lang w:eastAsia="fr-FR"/>
      </w:rPr>
      <w:drawing>
        <wp:inline distT="0" distB="0" distL="0" distR="0">
          <wp:extent cx="2019300" cy="723900"/>
          <wp:effectExtent l="19050" t="0" r="0" b="0"/>
          <wp:docPr id="1" name="Image 1" descr="logo-ploemeur vectorié à utili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loemeur vectorié à utilis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8F6" w:rsidRDefault="004318F6" w:rsidP="004318F6">
    <w:pPr>
      <w:ind w:left="-260" w:hanging="57"/>
      <w:rPr>
        <w:b/>
        <w:color w:val="999999"/>
        <w:sz w:val="20"/>
      </w:rPr>
    </w:pPr>
    <w:r>
      <w:rPr>
        <w:b/>
        <w:color w:val="999999"/>
        <w:sz w:val="20"/>
      </w:rPr>
      <w:t>Centre Communal d’Action Sociale</w:t>
    </w:r>
    <w:r>
      <w:rPr>
        <w:b/>
        <w:color w:val="999999"/>
        <w:sz w:val="20"/>
      </w:rPr>
      <w:tab/>
    </w:r>
    <w:r>
      <w:rPr>
        <w:b/>
        <w:color w:val="999999"/>
        <w:sz w:val="20"/>
      </w:rPr>
      <w:tab/>
    </w:r>
    <w:r>
      <w:rPr>
        <w:b/>
        <w:color w:val="999999"/>
        <w:sz w:val="20"/>
      </w:rPr>
      <w:tab/>
    </w:r>
    <w:r>
      <w:rPr>
        <w:b/>
        <w:color w:val="999999"/>
        <w:sz w:val="20"/>
      </w:rPr>
      <w:tab/>
    </w:r>
  </w:p>
  <w:p w:rsidR="004318F6" w:rsidRPr="004318F6" w:rsidRDefault="004318F6" w:rsidP="004318F6">
    <w:pPr>
      <w:ind w:left="-260" w:hanging="57"/>
      <w:rPr>
        <w:b/>
        <w:color w:val="999999"/>
        <w:sz w:val="20"/>
      </w:rPr>
    </w:pPr>
    <w:proofErr w:type="spellStart"/>
    <w:r w:rsidRPr="00DE622C">
      <w:rPr>
        <w:b/>
        <w:color w:val="999999"/>
        <w:sz w:val="20"/>
      </w:rPr>
      <w:t>Kreizenn</w:t>
    </w:r>
    <w:proofErr w:type="spellEnd"/>
    <w:r w:rsidRPr="00DE622C">
      <w:rPr>
        <w:b/>
        <w:color w:val="999999"/>
        <w:sz w:val="20"/>
      </w:rPr>
      <w:t xml:space="preserve"> </w:t>
    </w:r>
    <w:proofErr w:type="spellStart"/>
    <w:r w:rsidRPr="00DE622C">
      <w:rPr>
        <w:b/>
        <w:color w:val="999999"/>
        <w:sz w:val="20"/>
      </w:rPr>
      <w:t>Obererezh</w:t>
    </w:r>
    <w:proofErr w:type="spellEnd"/>
    <w:r w:rsidRPr="00DE622C">
      <w:rPr>
        <w:b/>
        <w:color w:val="999999"/>
        <w:sz w:val="20"/>
      </w:rPr>
      <w:t xml:space="preserve"> </w:t>
    </w:r>
    <w:proofErr w:type="spellStart"/>
    <w:r w:rsidRPr="00DE622C">
      <w:rPr>
        <w:b/>
        <w:color w:val="999999"/>
        <w:sz w:val="20"/>
      </w:rPr>
      <w:t>Sokial</w:t>
    </w:r>
    <w:proofErr w:type="spellEnd"/>
    <w:r w:rsidRPr="00DE622C">
      <w:rPr>
        <w:b/>
        <w:color w:val="999999"/>
        <w:sz w:val="20"/>
      </w:rPr>
      <w:t xml:space="preserve"> </w:t>
    </w:r>
    <w:proofErr w:type="spellStart"/>
    <w:r w:rsidRPr="00DE622C">
      <w:rPr>
        <w:b/>
        <w:color w:val="999999"/>
        <w:sz w:val="20"/>
      </w:rPr>
      <w:t>ar</w:t>
    </w:r>
    <w:proofErr w:type="spellEnd"/>
    <w:r w:rsidRPr="00DE622C">
      <w:rPr>
        <w:b/>
        <w:color w:val="999999"/>
        <w:sz w:val="20"/>
      </w:rPr>
      <w:t xml:space="preserve"> </w:t>
    </w:r>
    <w:proofErr w:type="spellStart"/>
    <w:r w:rsidRPr="00DE622C">
      <w:rPr>
        <w:b/>
        <w:color w:val="999999"/>
        <w:sz w:val="20"/>
      </w:rPr>
      <w:t>Gumun</w:t>
    </w:r>
    <w:proofErr w:type="spellEnd"/>
    <w:r w:rsidRPr="00DE622C">
      <w:rPr>
        <w:b/>
        <w:color w:val="999999"/>
        <w:sz w:val="20"/>
      </w:rPr>
      <w:tab/>
    </w:r>
  </w:p>
  <w:p w:rsidR="004318F6" w:rsidRDefault="004318F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E404B"/>
    <w:rsid w:val="000A76AE"/>
    <w:rsid w:val="000C5EFE"/>
    <w:rsid w:val="000C6947"/>
    <w:rsid w:val="000E404B"/>
    <w:rsid w:val="00182398"/>
    <w:rsid w:val="00194195"/>
    <w:rsid w:val="001A03A2"/>
    <w:rsid w:val="001A6515"/>
    <w:rsid w:val="00211272"/>
    <w:rsid w:val="00413D22"/>
    <w:rsid w:val="00426A2F"/>
    <w:rsid w:val="004318F6"/>
    <w:rsid w:val="00485A37"/>
    <w:rsid w:val="004B6733"/>
    <w:rsid w:val="005A283D"/>
    <w:rsid w:val="005C2D98"/>
    <w:rsid w:val="0064159C"/>
    <w:rsid w:val="006D7B17"/>
    <w:rsid w:val="007A74EC"/>
    <w:rsid w:val="007F46D7"/>
    <w:rsid w:val="007F79B4"/>
    <w:rsid w:val="00822F62"/>
    <w:rsid w:val="00885E7D"/>
    <w:rsid w:val="00916938"/>
    <w:rsid w:val="009A18C1"/>
    <w:rsid w:val="00A73939"/>
    <w:rsid w:val="00B27935"/>
    <w:rsid w:val="00B37195"/>
    <w:rsid w:val="00B60A3F"/>
    <w:rsid w:val="00B7423F"/>
    <w:rsid w:val="00BA45F1"/>
    <w:rsid w:val="00BA6F17"/>
    <w:rsid w:val="00BE1166"/>
    <w:rsid w:val="00C454E0"/>
    <w:rsid w:val="00D04577"/>
    <w:rsid w:val="00D66983"/>
    <w:rsid w:val="00DA33FC"/>
    <w:rsid w:val="00E22FCE"/>
    <w:rsid w:val="00E93340"/>
    <w:rsid w:val="00EC7831"/>
    <w:rsid w:val="00ED03B0"/>
    <w:rsid w:val="00F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3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7195"/>
  </w:style>
  <w:style w:type="paragraph" w:styleId="Pieddepage">
    <w:name w:val="footer"/>
    <w:basedOn w:val="Normal"/>
    <w:link w:val="PieddepageCar"/>
    <w:uiPriority w:val="99"/>
    <w:unhideWhenUsed/>
    <w:rsid w:val="00B3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195"/>
  </w:style>
  <w:style w:type="paragraph" w:styleId="Textedebulles">
    <w:name w:val="Balloon Text"/>
    <w:basedOn w:val="Normal"/>
    <w:link w:val="TextedebullesCar"/>
    <w:uiPriority w:val="99"/>
    <w:semiHidden/>
    <w:unhideWhenUsed/>
    <w:rsid w:val="004B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3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E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E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5E7D"/>
    <w:rPr>
      <w:vertAlign w:val="superscript"/>
    </w:rPr>
  </w:style>
  <w:style w:type="character" w:styleId="Numrodepage">
    <w:name w:val="page number"/>
    <w:basedOn w:val="Policepardfaut"/>
    <w:rsid w:val="0043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CFF8-A169-4459-B0C3-FB36AF2B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2014-10-28T09:30:00Z</cp:lastPrinted>
  <dcterms:created xsi:type="dcterms:W3CDTF">2014-11-24T12:31:00Z</dcterms:created>
  <dcterms:modified xsi:type="dcterms:W3CDTF">2014-11-24T12:31:00Z</dcterms:modified>
</cp:coreProperties>
</file>